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18956" w14:textId="1511D73B"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522D475C" w14:textId="4653F4B7"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w:t>
      </w:r>
      <w:r w:rsidR="00147A66">
        <w:rPr>
          <w:rFonts w:ascii="Arial" w:hAnsi="Arial" w:cs="Arial"/>
          <w:sz w:val="22"/>
          <w:szCs w:val="22"/>
        </w:rPr>
        <w:t>24</w:t>
      </w:r>
      <w:r w:rsidRPr="3B51B4B6">
        <w:rPr>
          <w:rFonts w:ascii="Arial" w:hAnsi="Arial" w:cs="Arial"/>
          <w:sz w:val="22"/>
          <w:szCs w:val="22"/>
        </w:rPr>
        <w:t>)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lastRenderedPageBreak/>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6ABBEAB4"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setting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lastRenderedPageBreak/>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lastRenderedPageBreak/>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1"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self-confidence and self-awareness (PSED), practitioners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77777777" w:rsidR="0022124D" w:rsidRPr="00B424EB" w:rsidRDefault="46C9523D" w:rsidP="00DD6A02">
      <w:pPr>
        <w:pStyle w:val="Default"/>
        <w:numPr>
          <w:ilvl w:val="0"/>
          <w:numId w:val="43"/>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Practitioners ensure children understand their and others’ behaviour and </w:t>
      </w:r>
      <w:r w:rsidR="0022124D" w:rsidRPr="1C494D65">
        <w:rPr>
          <w:rFonts w:ascii="Arial" w:hAnsi="Arial" w:cs="Arial"/>
          <w:color w:val="auto"/>
          <w:sz w:val="22"/>
          <w:szCs w:val="22"/>
        </w:rPr>
        <w:t>consequence.</w:t>
      </w:r>
    </w:p>
    <w:p w14:paraId="419D3CE4" w14:textId="0A0BDC8B" w:rsidR="0022124D" w:rsidRPr="00B424EB" w:rsidRDefault="0022124D" w:rsidP="00DD6A02">
      <w:pPr>
        <w:pStyle w:val="Default"/>
        <w:numPr>
          <w:ilvl w:val="0"/>
          <w:numId w:val="43"/>
        </w:numPr>
        <w:spacing w:before="120" w:after="120" w:line="360" w:lineRule="auto"/>
        <w:rPr>
          <w:rFonts w:ascii="Arial" w:hAnsi="Arial" w:cs="Arial"/>
          <w:color w:val="auto"/>
          <w:sz w:val="22"/>
          <w:szCs w:val="22"/>
        </w:rPr>
      </w:pPr>
      <w:r w:rsidRPr="1C494D65">
        <w:rPr>
          <w:rFonts w:ascii="Arial" w:hAnsi="Arial" w:cs="Arial"/>
          <w:color w:val="auto"/>
          <w:sz w:val="22"/>
          <w:szCs w:val="22"/>
        </w:rPr>
        <w:t>Practitioners collabor</w:t>
      </w:r>
      <w:r w:rsidR="46C9523D" w:rsidRPr="1C494D65">
        <w:rPr>
          <w:rFonts w:ascii="Arial" w:hAnsi="Arial" w:cs="Arial"/>
          <w:color w:val="auto"/>
          <w:sz w:val="22"/>
          <w:szCs w:val="22"/>
        </w:rPr>
        <w:t xml:space="preserve">ate with children to create rules and codes of behaviour, e.g. </w:t>
      </w:r>
      <w:r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7E58207"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lastRenderedPageBreak/>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Pr="00B63B39">
        <w:rPr>
          <w:rFonts w:ascii="Arial" w:hAnsi="Arial" w:cs="Arial"/>
          <w:color w:val="auto"/>
          <w:sz w:val="22"/>
          <w:szCs w:val="22"/>
        </w:rPr>
        <w:t>Practitioners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taff create an ethos of inclusivity and tolerance where views, faiths, cultures and races are valued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4427AA7A" w:rsidR="0022124D"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p w14:paraId="328C8D8F" w14:textId="77777777" w:rsidR="00EC38F3" w:rsidRDefault="00EC38F3" w:rsidP="00EC38F3">
      <w:pPr>
        <w:pStyle w:val="Default"/>
        <w:spacing w:before="120" w:after="120" w:line="360" w:lineRule="auto"/>
        <w:rPr>
          <w:rFonts w:ascii="Arial" w:hAnsi="Arial" w:cs="Arial"/>
          <w:color w:val="auto"/>
          <w:sz w:val="22"/>
          <w:szCs w:val="22"/>
        </w:rPr>
      </w:pPr>
    </w:p>
    <w:p w14:paraId="551F64B0" w14:textId="77777777" w:rsidR="00EC38F3" w:rsidRDefault="00EC38F3" w:rsidP="00EC38F3">
      <w:pPr>
        <w:pStyle w:val="Default"/>
        <w:spacing w:before="120" w:after="120" w:line="360" w:lineRule="auto"/>
        <w:rPr>
          <w:rFonts w:ascii="Arial" w:hAnsi="Arial" w:cs="Arial"/>
          <w:color w:val="auto"/>
          <w:sz w:val="22"/>
          <w:szCs w:val="22"/>
        </w:rPr>
      </w:pPr>
    </w:p>
    <w:p w14:paraId="710793FA" w14:textId="77777777" w:rsidR="00843569" w:rsidRDefault="00843569" w:rsidP="00EC38F3">
      <w:pPr>
        <w:pStyle w:val="Default"/>
        <w:spacing w:before="120" w:after="120" w:line="360" w:lineRule="auto"/>
        <w:rPr>
          <w:rFonts w:ascii="Arial" w:hAnsi="Arial" w:cs="Arial"/>
          <w:color w:val="auto"/>
          <w:sz w:val="22"/>
          <w:szCs w:val="22"/>
        </w:rPr>
      </w:pPr>
    </w:p>
    <w:p w14:paraId="5D981277" w14:textId="77777777" w:rsidR="00843569" w:rsidRDefault="00843569" w:rsidP="00843569">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2E093C71" w14:textId="77777777" w:rsidR="00843569" w:rsidRDefault="00843569" w:rsidP="00843569">
      <w:pPr>
        <w:spacing w:before="120" w:after="120" w:line="360" w:lineRule="auto"/>
        <w:rPr>
          <w:rFonts w:ascii="Arial" w:hAnsi="Arial" w:cs="Arial"/>
          <w:sz w:val="22"/>
          <w:szCs w:val="22"/>
        </w:rPr>
      </w:pPr>
      <w:r>
        <w:rPr>
          <w:rFonts w:ascii="Arial" w:hAnsi="Arial" w:cs="Arial"/>
          <w:sz w:val="22"/>
          <w:szCs w:val="22"/>
        </w:rPr>
        <w:t>Held on</w:t>
      </w:r>
    </w:p>
    <w:p w14:paraId="33609364" w14:textId="77777777" w:rsidR="00843569" w:rsidRDefault="00843569" w:rsidP="00843569">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1B034317" w14:textId="275F1105" w:rsidR="00843569" w:rsidRDefault="00843569" w:rsidP="00843569">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67318213" w14:textId="1612AF4C" w:rsidR="00843569" w:rsidRDefault="00843569" w:rsidP="00843569">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AC4D974" w14:textId="1429F851" w:rsidR="00843569" w:rsidRPr="00D1652E" w:rsidRDefault="00843569" w:rsidP="00D1652E">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843569" w:rsidRPr="00D1652E" w:rsidSect="00301A4A">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5C7AD" w14:textId="77777777" w:rsidR="0007502F" w:rsidRDefault="0007502F" w:rsidP="009F0116">
      <w:r>
        <w:separator/>
      </w:r>
    </w:p>
  </w:endnote>
  <w:endnote w:type="continuationSeparator" w:id="0">
    <w:p w14:paraId="0DF17B95" w14:textId="77777777" w:rsidR="0007502F" w:rsidRDefault="0007502F"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87DD9" w14:textId="77777777" w:rsidR="0007502F" w:rsidRDefault="0007502F" w:rsidP="009F0116">
      <w:r>
        <w:separator/>
      </w:r>
    </w:p>
  </w:footnote>
  <w:footnote w:type="continuationSeparator" w:id="0">
    <w:p w14:paraId="5B0F8B1A" w14:textId="77777777" w:rsidR="0007502F" w:rsidRDefault="0007502F"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184810">
    <w:abstractNumId w:val="10"/>
  </w:num>
  <w:num w:numId="2" w16cid:durableId="814877312">
    <w:abstractNumId w:val="8"/>
  </w:num>
  <w:num w:numId="3" w16cid:durableId="1819154797">
    <w:abstractNumId w:val="18"/>
  </w:num>
  <w:num w:numId="4" w16cid:durableId="1709531298">
    <w:abstractNumId w:val="29"/>
  </w:num>
  <w:num w:numId="5" w16cid:durableId="1876457361">
    <w:abstractNumId w:val="30"/>
  </w:num>
  <w:num w:numId="6" w16cid:durableId="1849825647">
    <w:abstractNumId w:val="2"/>
  </w:num>
  <w:num w:numId="7" w16cid:durableId="1842044213">
    <w:abstractNumId w:val="25"/>
  </w:num>
  <w:num w:numId="8" w16cid:durableId="333150270">
    <w:abstractNumId w:val="17"/>
  </w:num>
  <w:num w:numId="9" w16cid:durableId="338625068">
    <w:abstractNumId w:val="27"/>
  </w:num>
  <w:num w:numId="10" w16cid:durableId="896018316">
    <w:abstractNumId w:val="3"/>
  </w:num>
  <w:num w:numId="11" w16cid:durableId="1800026046">
    <w:abstractNumId w:val="15"/>
  </w:num>
  <w:num w:numId="12" w16cid:durableId="63552905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023985">
    <w:abstractNumId w:val="41"/>
  </w:num>
  <w:num w:numId="14" w16cid:durableId="2055889820">
    <w:abstractNumId w:val="11"/>
  </w:num>
  <w:num w:numId="15" w16cid:durableId="1075324676">
    <w:abstractNumId w:val="1"/>
  </w:num>
  <w:num w:numId="16" w16cid:durableId="239755116">
    <w:abstractNumId w:val="6"/>
  </w:num>
  <w:num w:numId="17" w16cid:durableId="683167028">
    <w:abstractNumId w:val="23"/>
  </w:num>
  <w:num w:numId="18" w16cid:durableId="637422781">
    <w:abstractNumId w:val="4"/>
  </w:num>
  <w:num w:numId="19" w16cid:durableId="1044132603">
    <w:abstractNumId w:val="31"/>
  </w:num>
  <w:num w:numId="20" w16cid:durableId="619457774">
    <w:abstractNumId w:val="39"/>
  </w:num>
  <w:num w:numId="21" w16cid:durableId="510680180">
    <w:abstractNumId w:val="13"/>
  </w:num>
  <w:num w:numId="22" w16cid:durableId="2032099021">
    <w:abstractNumId w:val="20"/>
  </w:num>
  <w:num w:numId="23" w16cid:durableId="1084645577">
    <w:abstractNumId w:val="26"/>
  </w:num>
  <w:num w:numId="24" w16cid:durableId="1010571607">
    <w:abstractNumId w:val="22"/>
  </w:num>
  <w:num w:numId="25" w16cid:durableId="654142059">
    <w:abstractNumId w:val="32"/>
  </w:num>
  <w:num w:numId="26" w16cid:durableId="1558666740">
    <w:abstractNumId w:val="43"/>
  </w:num>
  <w:num w:numId="27" w16cid:durableId="1231575914">
    <w:abstractNumId w:val="12"/>
  </w:num>
  <w:num w:numId="28" w16cid:durableId="1377777001">
    <w:abstractNumId w:val="21"/>
  </w:num>
  <w:num w:numId="29" w16cid:durableId="1990208294">
    <w:abstractNumId w:val="35"/>
  </w:num>
  <w:num w:numId="30" w16cid:durableId="482501171">
    <w:abstractNumId w:val="24"/>
  </w:num>
  <w:num w:numId="31" w16cid:durableId="1588615097">
    <w:abstractNumId w:val="37"/>
  </w:num>
  <w:num w:numId="32" w16cid:durableId="1091849466">
    <w:abstractNumId w:val="14"/>
  </w:num>
  <w:num w:numId="33" w16cid:durableId="2096633091">
    <w:abstractNumId w:val="34"/>
  </w:num>
  <w:num w:numId="34" w16cid:durableId="1987738592">
    <w:abstractNumId w:val="7"/>
  </w:num>
  <w:num w:numId="35" w16cid:durableId="595015943">
    <w:abstractNumId w:val="42"/>
  </w:num>
  <w:num w:numId="36" w16cid:durableId="1340932968">
    <w:abstractNumId w:val="5"/>
  </w:num>
  <w:num w:numId="37" w16cid:durableId="378676933">
    <w:abstractNumId w:val="38"/>
  </w:num>
  <w:num w:numId="38" w16cid:durableId="1154755670">
    <w:abstractNumId w:val="33"/>
  </w:num>
  <w:num w:numId="39" w16cid:durableId="908424967">
    <w:abstractNumId w:val="36"/>
  </w:num>
  <w:num w:numId="40" w16cid:durableId="2050758023">
    <w:abstractNumId w:val="40"/>
  </w:num>
  <w:num w:numId="41" w16cid:durableId="162206164">
    <w:abstractNumId w:val="0"/>
  </w:num>
  <w:num w:numId="42" w16cid:durableId="1094592716">
    <w:abstractNumId w:val="28"/>
  </w:num>
  <w:num w:numId="43" w16cid:durableId="1596326366">
    <w:abstractNumId w:val="16"/>
  </w:num>
  <w:num w:numId="44" w16cid:durableId="2145731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7502F"/>
    <w:rsid w:val="00081D9E"/>
    <w:rsid w:val="000AB50A"/>
    <w:rsid w:val="000B1178"/>
    <w:rsid w:val="000C2CED"/>
    <w:rsid w:val="000C31FB"/>
    <w:rsid w:val="000D10A8"/>
    <w:rsid w:val="000D581B"/>
    <w:rsid w:val="000D749B"/>
    <w:rsid w:val="00112B83"/>
    <w:rsid w:val="00134A3C"/>
    <w:rsid w:val="001406BF"/>
    <w:rsid w:val="00147A66"/>
    <w:rsid w:val="00155C07"/>
    <w:rsid w:val="00165D08"/>
    <w:rsid w:val="00175BFB"/>
    <w:rsid w:val="001770F5"/>
    <w:rsid w:val="001818AA"/>
    <w:rsid w:val="001940F4"/>
    <w:rsid w:val="001B2631"/>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35A43"/>
    <w:rsid w:val="00767440"/>
    <w:rsid w:val="007744A2"/>
    <w:rsid w:val="007C1498"/>
    <w:rsid w:val="007E21BC"/>
    <w:rsid w:val="007E4B80"/>
    <w:rsid w:val="007E6609"/>
    <w:rsid w:val="007F3831"/>
    <w:rsid w:val="00823FF7"/>
    <w:rsid w:val="00843569"/>
    <w:rsid w:val="0084386C"/>
    <w:rsid w:val="008478D7"/>
    <w:rsid w:val="00863A82"/>
    <w:rsid w:val="00873E35"/>
    <w:rsid w:val="008742A3"/>
    <w:rsid w:val="0087790C"/>
    <w:rsid w:val="008836D8"/>
    <w:rsid w:val="008A1566"/>
    <w:rsid w:val="008B1A8F"/>
    <w:rsid w:val="008B6A7F"/>
    <w:rsid w:val="008C3A50"/>
    <w:rsid w:val="008C6822"/>
    <w:rsid w:val="008E0245"/>
    <w:rsid w:val="008E0C67"/>
    <w:rsid w:val="008E11DD"/>
    <w:rsid w:val="008F0194"/>
    <w:rsid w:val="009058AE"/>
    <w:rsid w:val="00907F01"/>
    <w:rsid w:val="00910643"/>
    <w:rsid w:val="00917EB8"/>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7BBF"/>
    <w:rsid w:val="00C32144"/>
    <w:rsid w:val="00C336DD"/>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1652E"/>
    <w:rsid w:val="00D23F33"/>
    <w:rsid w:val="00D27172"/>
    <w:rsid w:val="00D351DB"/>
    <w:rsid w:val="00D5648F"/>
    <w:rsid w:val="00D9118A"/>
    <w:rsid w:val="00DA20AE"/>
    <w:rsid w:val="00DA2DF1"/>
    <w:rsid w:val="00DA39AD"/>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38F3"/>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9DB93F5F-85D0-43C9-A9B6-37E731F7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customStyle="1" w:styleId="UnresolvedMention1">
    <w:name w:val="Unresolved Mention1"/>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728878">
      <w:bodyDiv w:val="1"/>
      <w:marLeft w:val="0"/>
      <w:marRight w:val="0"/>
      <w:marTop w:val="0"/>
      <w:marBottom w:val="0"/>
      <w:divBdr>
        <w:top w:val="none" w:sz="0" w:space="0" w:color="auto"/>
        <w:left w:val="none" w:sz="0" w:space="0" w:color="auto"/>
        <w:bottom w:val="none" w:sz="0" w:space="0" w:color="auto"/>
        <w:right w:val="none" w:sz="0" w:space="0" w:color="auto"/>
      </w:divBdr>
    </w:div>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years.org.uk/wp-content/uploads/2017/08/Fundamental-British-Values-in-the-Early-Years-2017.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959A4755-28B1-4981-9C97-AB466750CF99}">
  <ds:schemaRefs>
    <ds:schemaRef ds:uri="http://schemas.openxmlformats.org/officeDocument/2006/bibliography"/>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84C1BCB1-5ABC-4CEA-BA38-C913D3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Hutton Playgroup</cp:lastModifiedBy>
  <cp:revision>6</cp:revision>
  <cp:lastPrinted>2011-11-21T10:06:00Z</cp:lastPrinted>
  <dcterms:created xsi:type="dcterms:W3CDTF">2021-10-06T16:38:00Z</dcterms:created>
  <dcterms:modified xsi:type="dcterms:W3CDTF">2024-06-14T17:49:00Z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