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6825721C"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this policy was adopted by</w:t>
      </w:r>
      <w:r w:rsidR="00DA5E37">
        <w:rPr>
          <w:b w:val="0"/>
          <w:sz w:val="22"/>
          <w:szCs w:val="22"/>
        </w:rPr>
        <w:t xml:space="preserve"> Hutton Playgrou</w:t>
      </w:r>
      <w:r w:rsidR="006D225A">
        <w:rPr>
          <w:b w:val="0"/>
          <w:sz w:val="22"/>
          <w:szCs w:val="22"/>
        </w:rPr>
        <w:t>p</w:t>
      </w:r>
      <w:r w:rsidRPr="0049232B">
        <w:rPr>
          <w:b w:val="0"/>
          <w:sz w:val="22"/>
          <w:szCs w:val="22"/>
        </w:rPr>
        <w:t xml:space="preserve"> </w:t>
      </w:r>
      <w:proofErr w:type="gramStart"/>
      <w:r w:rsidRPr="0049232B">
        <w:rPr>
          <w:b w:val="0"/>
          <w:sz w:val="22"/>
          <w:szCs w:val="22"/>
        </w:rPr>
        <w:t>on</w:t>
      </w:r>
      <w:proofErr w:type="gramEnd"/>
      <w:r w:rsidR="006D225A">
        <w:rPr>
          <w:b w:val="0"/>
          <w:sz w:val="22"/>
          <w:szCs w:val="22"/>
        </w:rPr>
        <w:t xml:space="preserve">        Ju</w:t>
      </w:r>
      <w:r w:rsidR="001660B4">
        <w:rPr>
          <w:b w:val="0"/>
          <w:sz w:val="22"/>
          <w:szCs w:val="22"/>
        </w:rPr>
        <w:t>ly 2022</w:t>
      </w:r>
    </w:p>
    <w:p w14:paraId="28949CF2" w14:textId="1A02F552"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is:</w:t>
      </w:r>
      <w:r w:rsidRPr="00702BF1">
        <w:rPr>
          <w:sz w:val="22"/>
          <w:szCs w:val="22"/>
        </w:rPr>
        <w:t xml:space="preserve"> </w:t>
      </w:r>
      <w:r w:rsidR="001660B4">
        <w:rPr>
          <w:b w:val="0"/>
          <w:bCs w:val="0"/>
          <w:sz w:val="22"/>
          <w:szCs w:val="22"/>
        </w:rPr>
        <w:t>Wendy Jones</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4DFC90B0"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3B6E83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(1992)</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62DC0CFB" w:rsidR="00AA49D0" w:rsidRPr="00702BF1" w:rsidRDefault="0023678D" w:rsidP="00706CD4">
      <w:pPr>
        <w:spacing w:before="120" w:after="120" w:line="360" w:lineRule="auto"/>
        <w:rPr>
          <w:rFonts w:ascii="Arial" w:hAnsi="Arial" w:cs="Arial"/>
          <w:sz w:val="22"/>
          <w:szCs w:val="22"/>
        </w:rPr>
      </w:pPr>
      <w:r w:rsidRPr="00702BF1">
        <w:rPr>
          <w:rFonts w:ascii="Arial" w:hAnsi="Arial" w:cs="Arial"/>
          <w:sz w:val="22"/>
          <w:szCs w:val="22"/>
        </w:rPr>
        <w:t>Dynamic Risk Management in the Early Years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1"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Default="00513710" w:rsidP="00706CD4">
      <w:pPr>
        <w:spacing w:before="120" w:after="120" w:line="360" w:lineRule="auto"/>
        <w:rPr>
          <w:rStyle w:val="Hyperlink"/>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2" w:history="1">
        <w:r w:rsidR="00C5446F" w:rsidRPr="00400C6A">
          <w:rPr>
            <w:rStyle w:val="Hyperlink"/>
            <w:rFonts w:ascii="Arial" w:hAnsi="Arial" w:cs="Arial"/>
            <w:sz w:val="22"/>
            <w:szCs w:val="22"/>
          </w:rPr>
          <w:t>www.communities.gov.uk</w:t>
        </w:r>
      </w:hyperlink>
    </w:p>
    <w:p w14:paraId="6AF34819" w14:textId="77777777" w:rsidR="00281471" w:rsidRDefault="00281471" w:rsidP="00706CD4">
      <w:pPr>
        <w:spacing w:before="120" w:after="120" w:line="360" w:lineRule="auto"/>
        <w:rPr>
          <w:rStyle w:val="Hyperlink"/>
          <w:rFonts w:ascii="Arial" w:hAnsi="Arial" w:cs="Arial"/>
          <w:sz w:val="22"/>
          <w:szCs w:val="22"/>
        </w:rPr>
      </w:pPr>
    </w:p>
    <w:p w14:paraId="1F199BAB" w14:textId="77777777" w:rsidR="00281471" w:rsidRDefault="00281471" w:rsidP="00706CD4">
      <w:pPr>
        <w:spacing w:before="120" w:after="120" w:line="360" w:lineRule="auto"/>
        <w:rPr>
          <w:rStyle w:val="Hyperlink"/>
          <w:rFonts w:ascii="Arial" w:hAnsi="Arial" w:cs="Arial"/>
          <w:sz w:val="22"/>
          <w:szCs w:val="22"/>
        </w:rPr>
      </w:pPr>
    </w:p>
    <w:p w14:paraId="3475A645" w14:textId="77777777" w:rsidR="00281471" w:rsidRDefault="00281471" w:rsidP="00706CD4">
      <w:pPr>
        <w:spacing w:before="120" w:after="120" w:line="360" w:lineRule="auto"/>
        <w:rPr>
          <w:rStyle w:val="Hyperlink"/>
          <w:rFonts w:ascii="Arial" w:hAnsi="Arial" w:cs="Arial"/>
          <w:sz w:val="22"/>
          <w:szCs w:val="22"/>
        </w:rPr>
      </w:pPr>
    </w:p>
    <w:p w14:paraId="5F582632" w14:textId="77777777" w:rsidR="00F20903" w:rsidRDefault="00F20903" w:rsidP="00F20903">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53BE3031" w14:textId="77777777" w:rsidR="00F20903" w:rsidRDefault="00F20903" w:rsidP="00F20903">
      <w:pPr>
        <w:spacing w:before="120" w:after="120" w:line="360" w:lineRule="auto"/>
        <w:rPr>
          <w:rFonts w:ascii="Arial" w:hAnsi="Arial" w:cs="Arial"/>
          <w:sz w:val="22"/>
          <w:szCs w:val="22"/>
        </w:rPr>
      </w:pPr>
      <w:r>
        <w:rPr>
          <w:rFonts w:ascii="Arial" w:hAnsi="Arial" w:cs="Arial"/>
          <w:sz w:val="22"/>
          <w:szCs w:val="22"/>
        </w:rPr>
        <w:t>Held on</w:t>
      </w:r>
    </w:p>
    <w:p w14:paraId="424BB472" w14:textId="77777777" w:rsidR="00F20903" w:rsidRDefault="00F20903" w:rsidP="00F20903">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6D5661C9" w14:textId="77777777" w:rsidR="00F20903" w:rsidRDefault="00F20903" w:rsidP="00F20903">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25F25D33" w14:textId="77777777" w:rsidR="00F20903" w:rsidRDefault="00F20903" w:rsidP="00F20903">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5DEE26B2" w14:textId="77777777" w:rsidR="00F20903" w:rsidRDefault="00F20903" w:rsidP="00F20903">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1221DCB9" w14:textId="77777777" w:rsidR="00281471" w:rsidRPr="00732C38" w:rsidRDefault="00281471" w:rsidP="00706CD4">
      <w:pPr>
        <w:spacing w:before="120" w:after="120" w:line="360" w:lineRule="auto"/>
        <w:rPr>
          <w:rFonts w:ascii="Arial" w:hAnsi="Arial" w:cs="Arial"/>
          <w:sz w:val="22"/>
          <w:szCs w:val="22"/>
        </w:rPr>
      </w:pPr>
    </w:p>
    <w:sectPr w:rsidR="00281471" w:rsidRPr="00732C38"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138D" w14:textId="77777777" w:rsidR="006459A5" w:rsidRDefault="006459A5" w:rsidP="00E07382">
      <w:r>
        <w:separator/>
      </w:r>
    </w:p>
  </w:endnote>
  <w:endnote w:type="continuationSeparator" w:id="0">
    <w:p w14:paraId="6B22F31B" w14:textId="77777777" w:rsidR="006459A5" w:rsidRDefault="006459A5" w:rsidP="00E07382">
      <w:r>
        <w:continuationSeparator/>
      </w:r>
    </w:p>
  </w:endnote>
  <w:endnote w:type="continuationNotice" w:id="1">
    <w:p w14:paraId="3065BCCF" w14:textId="77777777" w:rsidR="006459A5" w:rsidRDefault="0064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D9C0" w14:textId="77777777" w:rsidR="006459A5" w:rsidRDefault="006459A5" w:rsidP="00E07382">
      <w:r>
        <w:separator/>
      </w:r>
    </w:p>
  </w:footnote>
  <w:footnote w:type="continuationSeparator" w:id="0">
    <w:p w14:paraId="21B8AB56" w14:textId="77777777" w:rsidR="006459A5" w:rsidRDefault="006459A5" w:rsidP="00E07382">
      <w:r>
        <w:continuationSeparator/>
      </w:r>
    </w:p>
  </w:footnote>
  <w:footnote w:type="continuationNotice" w:id="1">
    <w:p w14:paraId="25961E46" w14:textId="77777777" w:rsidR="006459A5" w:rsidRDefault="0064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57EBC"/>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60B4"/>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1471"/>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1917"/>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2B8C"/>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59A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225A"/>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5E37"/>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903"/>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32ADE029-81C7-4128-A742-49C031F4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91B23-E06C-47B5-A828-5F8E62F0C698}">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purl.org/dc/dcmitype/"/>
    <ds:schemaRef ds:uri="477e5560-c3c0-4dd8-a228-29abf0df8452"/>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18c16896-6164-4c7e-9f7f-7b4744fe38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Alongside associated procedures in 01.1 to 01.22 Health and safety, this policy </vt:lpstr>
      <vt:lpstr>Designated Health and Safety Officer is: [insert name]</vt:lpstr>
      <vt:lpstr>Aim</vt:lpstr>
    </vt:vector>
  </TitlesOfParts>
  <Company>Hewlett-Packard Company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7</cp:revision>
  <cp:lastPrinted>2011-11-21T12:20:00Z</cp:lastPrinted>
  <dcterms:created xsi:type="dcterms:W3CDTF">2021-10-04T16:00:00Z</dcterms:created>
  <dcterms:modified xsi:type="dcterms:W3CDTF">2022-03-16T19:54:00Z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